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36"/>
        <w:gridCol w:w="2547"/>
        <w:gridCol w:w="2839"/>
      </w:tblGrid>
      <w:tr w:rsidR="00607832" w:rsidRPr="006F533D" w:rsidTr="006F533D">
        <w:tc>
          <w:tcPr>
            <w:tcW w:w="8522" w:type="dxa"/>
            <w:gridSpan w:val="3"/>
            <w:tcBorders>
              <w:top w:val="nil"/>
              <w:left w:val="nil"/>
              <w:bottom w:val="nil"/>
              <w:right w:val="nil"/>
            </w:tcBorders>
          </w:tcPr>
          <w:p w:rsidR="00607832" w:rsidRPr="006F533D" w:rsidRDefault="00607832" w:rsidP="00607832">
            <w:pPr>
              <w:pStyle w:val="Heading1"/>
              <w:jc w:val="left"/>
              <w:rPr>
                <w:rFonts w:asciiTheme="minorHAnsi" w:hAnsiTheme="minorHAnsi"/>
                <w:sz w:val="20"/>
                <w:lang w:val="es-ES"/>
              </w:rPr>
            </w:pPr>
            <w:r w:rsidRPr="006F533D">
              <w:rPr>
                <w:rFonts w:asciiTheme="minorHAnsi" w:hAnsiTheme="minorHAnsi"/>
                <w:sz w:val="20"/>
                <w:lang w:val="es-ES"/>
              </w:rPr>
              <w:t>Tivaivai</w:t>
            </w:r>
          </w:p>
          <w:p w:rsidR="00607832" w:rsidRPr="006F533D" w:rsidRDefault="00607832" w:rsidP="00607832">
            <w:pPr>
              <w:rPr>
                <w:sz w:val="20"/>
                <w:szCs w:val="20"/>
              </w:rPr>
            </w:pPr>
          </w:p>
        </w:tc>
      </w:tr>
      <w:tr w:rsidR="00607832" w:rsidRPr="006F533D" w:rsidTr="006F533D">
        <w:tc>
          <w:tcPr>
            <w:tcW w:w="8522" w:type="dxa"/>
            <w:gridSpan w:val="3"/>
            <w:tcBorders>
              <w:top w:val="nil"/>
              <w:left w:val="nil"/>
              <w:bottom w:val="nil"/>
              <w:right w:val="nil"/>
            </w:tcBorders>
          </w:tcPr>
          <w:p w:rsidR="00607832" w:rsidRPr="006F533D" w:rsidRDefault="00607832" w:rsidP="00A52818">
            <w:pPr>
              <w:pStyle w:val="BodyText"/>
              <w:jc w:val="left"/>
              <w:rPr>
                <w:rFonts w:asciiTheme="minorHAnsi" w:hAnsiTheme="minorHAnsi"/>
                <w:lang w:val="es-ES"/>
              </w:rPr>
            </w:pPr>
            <w:r w:rsidRPr="006F533D">
              <w:rPr>
                <w:rFonts w:asciiTheme="minorHAnsi" w:hAnsiTheme="minorHAnsi"/>
                <w:lang w:val="es-ES"/>
              </w:rPr>
              <w:t xml:space="preserve">Tivaivai se llaman las colchas tradicionales de las Islas Cook. Pocas veces se utilizan para cubrir camas sino se colocan en las paredes de salas de fiesta para servir de decoración en ritos ceremoniales. Hay tres técnicas distintas de como coserlas: </w:t>
            </w:r>
          </w:p>
        </w:tc>
      </w:tr>
      <w:tr w:rsidR="00607832" w:rsidRPr="006F533D" w:rsidTr="006F533D">
        <w:tc>
          <w:tcPr>
            <w:tcW w:w="5683" w:type="dxa"/>
            <w:gridSpan w:val="2"/>
            <w:tcBorders>
              <w:top w:val="nil"/>
              <w:left w:val="nil"/>
              <w:bottom w:val="nil"/>
              <w:right w:val="nil"/>
            </w:tcBorders>
          </w:tcPr>
          <w:p w:rsidR="006F533D" w:rsidRPr="006F533D" w:rsidRDefault="006F533D" w:rsidP="00607832">
            <w:pPr>
              <w:pStyle w:val="BodyText"/>
              <w:rPr>
                <w:rFonts w:asciiTheme="minorHAnsi" w:hAnsiTheme="minorHAnsi"/>
                <w:i/>
                <w:lang w:val="es-ES"/>
              </w:rPr>
            </w:pPr>
          </w:p>
          <w:p w:rsidR="00607832" w:rsidRPr="006F533D" w:rsidRDefault="00607832" w:rsidP="00A52818">
            <w:pPr>
              <w:pStyle w:val="BodyText"/>
              <w:jc w:val="left"/>
              <w:rPr>
                <w:rFonts w:asciiTheme="minorHAnsi" w:hAnsiTheme="minorHAnsi"/>
                <w:i/>
                <w:lang w:val="es-ES"/>
              </w:rPr>
            </w:pPr>
            <w:r w:rsidRPr="006F533D">
              <w:rPr>
                <w:rFonts w:asciiTheme="minorHAnsi" w:hAnsiTheme="minorHAnsi"/>
                <w:i/>
                <w:lang w:val="es-ES"/>
              </w:rPr>
              <w:t>Tivaivai manu</w:t>
            </w:r>
          </w:p>
          <w:p w:rsidR="00607832" w:rsidRPr="006F533D" w:rsidRDefault="00607832" w:rsidP="00A52818">
            <w:pPr>
              <w:pStyle w:val="BodyTextIndent"/>
              <w:ind w:left="0"/>
              <w:jc w:val="left"/>
              <w:rPr>
                <w:rFonts w:asciiTheme="minorHAnsi" w:hAnsiTheme="minorHAnsi"/>
                <w:sz w:val="20"/>
                <w:lang w:val="es-ES"/>
              </w:rPr>
            </w:pPr>
            <w:r w:rsidRPr="006F533D">
              <w:rPr>
                <w:rFonts w:asciiTheme="minorHAnsi" w:hAnsiTheme="minorHAnsi"/>
                <w:sz w:val="20"/>
                <w:lang w:val="es-ES"/>
              </w:rPr>
              <w:t>Aplicación de una capa de tela unicolor que ha sido cortada en un diseño simétrico muy detallado casi siempre floral sobre un fondo de tela de color contrastante</w:t>
            </w:r>
          </w:p>
          <w:p w:rsidR="00607832" w:rsidRPr="006F533D" w:rsidRDefault="00607832" w:rsidP="00607832">
            <w:pPr>
              <w:pStyle w:val="Heading1"/>
              <w:jc w:val="left"/>
              <w:rPr>
                <w:rFonts w:asciiTheme="minorHAnsi" w:hAnsiTheme="minorHAnsi"/>
                <w:sz w:val="20"/>
                <w:lang w:val="es-ES"/>
              </w:rPr>
            </w:pPr>
          </w:p>
        </w:tc>
        <w:tc>
          <w:tcPr>
            <w:tcW w:w="2839" w:type="dxa"/>
            <w:tcBorders>
              <w:top w:val="nil"/>
              <w:left w:val="nil"/>
              <w:bottom w:val="nil"/>
              <w:right w:val="nil"/>
            </w:tcBorders>
          </w:tcPr>
          <w:p w:rsidR="00607832" w:rsidRPr="006F533D" w:rsidRDefault="006F533D" w:rsidP="00607832">
            <w:pPr>
              <w:pStyle w:val="Heading1"/>
              <w:jc w:val="left"/>
              <w:rPr>
                <w:rFonts w:asciiTheme="minorHAnsi" w:hAnsiTheme="minorHAnsi"/>
                <w:sz w:val="20"/>
                <w:lang w:val="es-ES"/>
              </w:rPr>
            </w:pPr>
            <w:r w:rsidRPr="006F533D">
              <w:rPr>
                <w:rFonts w:asciiTheme="minorHAnsi" w:hAnsiTheme="minorHAnsi"/>
                <w:noProof/>
                <w:sz w:val="20"/>
                <w:lang w:val="en-US"/>
              </w:rPr>
              <w:drawing>
                <wp:inline distT="0" distB="0" distL="0" distR="0" wp14:anchorId="37D3DDA9" wp14:editId="55EB74E2">
                  <wp:extent cx="1452466" cy="1072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heather.jpg"/>
                          <pic:cNvPicPr/>
                        </pic:nvPicPr>
                        <pic:blipFill>
                          <a:blip r:embed="rId5">
                            <a:extLst>
                              <a:ext uri="{28A0092B-C50C-407E-A947-70E740481C1C}">
                                <a14:useLocalDpi xmlns:a14="http://schemas.microsoft.com/office/drawing/2010/main" val="0"/>
                              </a:ext>
                            </a:extLst>
                          </a:blip>
                          <a:stretch>
                            <a:fillRect/>
                          </a:stretch>
                        </pic:blipFill>
                        <pic:spPr>
                          <a:xfrm>
                            <a:off x="0" y="0"/>
                            <a:ext cx="1453650" cy="1072998"/>
                          </a:xfrm>
                          <a:prstGeom prst="rect">
                            <a:avLst/>
                          </a:prstGeom>
                        </pic:spPr>
                      </pic:pic>
                    </a:graphicData>
                  </a:graphic>
                </wp:inline>
              </w:drawing>
            </w:r>
          </w:p>
        </w:tc>
      </w:tr>
      <w:tr w:rsidR="006F533D" w:rsidRPr="006F533D" w:rsidTr="006F533D">
        <w:tc>
          <w:tcPr>
            <w:tcW w:w="3136" w:type="dxa"/>
            <w:tcBorders>
              <w:top w:val="nil"/>
              <w:left w:val="nil"/>
              <w:bottom w:val="nil"/>
              <w:right w:val="nil"/>
            </w:tcBorders>
          </w:tcPr>
          <w:p w:rsidR="006F533D" w:rsidRPr="006F533D" w:rsidRDefault="006F533D" w:rsidP="00607832">
            <w:pPr>
              <w:pStyle w:val="Heading1"/>
              <w:jc w:val="left"/>
              <w:rPr>
                <w:rFonts w:asciiTheme="minorHAnsi" w:hAnsiTheme="minorHAnsi"/>
                <w:sz w:val="20"/>
                <w:lang w:val="es-ES"/>
              </w:rPr>
            </w:pPr>
            <w:r w:rsidRPr="006F533D">
              <w:rPr>
                <w:rFonts w:asciiTheme="minorHAnsi" w:hAnsiTheme="minorHAnsi"/>
                <w:noProof/>
                <w:sz w:val="20"/>
                <w:lang w:val="en-US"/>
              </w:rPr>
              <w:drawing>
                <wp:inline distT="0" distB="0" distL="0" distR="0" wp14:anchorId="04CA6AF0" wp14:editId="64752060">
                  <wp:extent cx="1596683" cy="9186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dtaorei.jpg"/>
                          <pic:cNvPicPr/>
                        </pic:nvPicPr>
                        <pic:blipFill>
                          <a:blip r:embed="rId6">
                            <a:extLst>
                              <a:ext uri="{28A0092B-C50C-407E-A947-70E740481C1C}">
                                <a14:useLocalDpi xmlns:a14="http://schemas.microsoft.com/office/drawing/2010/main" val="0"/>
                              </a:ext>
                            </a:extLst>
                          </a:blip>
                          <a:stretch>
                            <a:fillRect/>
                          </a:stretch>
                        </pic:blipFill>
                        <pic:spPr>
                          <a:xfrm>
                            <a:off x="0" y="0"/>
                            <a:ext cx="1598603" cy="919784"/>
                          </a:xfrm>
                          <a:prstGeom prst="rect">
                            <a:avLst/>
                          </a:prstGeom>
                        </pic:spPr>
                      </pic:pic>
                    </a:graphicData>
                  </a:graphic>
                </wp:inline>
              </w:drawing>
            </w:r>
          </w:p>
        </w:tc>
        <w:tc>
          <w:tcPr>
            <w:tcW w:w="5386" w:type="dxa"/>
            <w:gridSpan w:val="2"/>
            <w:tcBorders>
              <w:top w:val="nil"/>
              <w:left w:val="nil"/>
              <w:bottom w:val="nil"/>
              <w:right w:val="nil"/>
            </w:tcBorders>
          </w:tcPr>
          <w:p w:rsidR="006F533D" w:rsidRPr="006F533D" w:rsidRDefault="006F533D" w:rsidP="006F533D">
            <w:pPr>
              <w:pStyle w:val="BodyText2"/>
              <w:rPr>
                <w:rFonts w:asciiTheme="minorHAnsi" w:hAnsiTheme="minorHAnsi"/>
                <w:i/>
                <w:sz w:val="20"/>
                <w:lang w:val="es-ES"/>
              </w:rPr>
            </w:pPr>
          </w:p>
          <w:p w:rsidR="006F533D" w:rsidRPr="006F533D" w:rsidRDefault="006F533D" w:rsidP="00A52818">
            <w:pPr>
              <w:pStyle w:val="BodyText2"/>
              <w:jc w:val="left"/>
              <w:rPr>
                <w:rFonts w:asciiTheme="minorHAnsi" w:hAnsiTheme="minorHAnsi"/>
                <w:sz w:val="20"/>
                <w:lang w:val="es-ES"/>
              </w:rPr>
            </w:pPr>
            <w:r w:rsidRPr="006F533D">
              <w:rPr>
                <w:rFonts w:asciiTheme="minorHAnsi" w:hAnsiTheme="minorHAnsi"/>
                <w:i/>
                <w:sz w:val="20"/>
                <w:lang w:val="es-ES"/>
              </w:rPr>
              <w:t>Tivaivai Taorei</w:t>
            </w:r>
          </w:p>
          <w:p w:rsidR="006F533D" w:rsidRPr="006F533D" w:rsidRDefault="006F533D" w:rsidP="00A52818">
            <w:pPr>
              <w:pStyle w:val="BodyTextIndent"/>
              <w:ind w:left="0"/>
              <w:jc w:val="left"/>
              <w:rPr>
                <w:rFonts w:asciiTheme="minorHAnsi" w:hAnsiTheme="minorHAnsi"/>
                <w:sz w:val="20"/>
                <w:lang w:val="es-ES"/>
              </w:rPr>
            </w:pPr>
            <w:r w:rsidRPr="006F533D">
              <w:rPr>
                <w:rFonts w:asciiTheme="minorHAnsi" w:hAnsiTheme="minorHAnsi"/>
                <w:sz w:val="20"/>
                <w:lang w:val="es-ES"/>
              </w:rPr>
              <w:t>Colcha compuesta de miles de trocitos de 2.5 cm cuadrados de varias telas unicolores creando un diseño mosaico  simétrico</w:t>
            </w:r>
          </w:p>
          <w:p w:rsidR="006F533D" w:rsidRPr="006F533D" w:rsidRDefault="006F533D" w:rsidP="00607832">
            <w:pPr>
              <w:pStyle w:val="Heading1"/>
              <w:jc w:val="left"/>
              <w:rPr>
                <w:rFonts w:asciiTheme="minorHAnsi" w:hAnsiTheme="minorHAnsi"/>
                <w:sz w:val="20"/>
                <w:lang w:val="es-ES"/>
              </w:rPr>
            </w:pPr>
          </w:p>
        </w:tc>
      </w:tr>
      <w:tr w:rsidR="006F533D" w:rsidRPr="006F533D" w:rsidTr="006F533D">
        <w:tc>
          <w:tcPr>
            <w:tcW w:w="5683" w:type="dxa"/>
            <w:gridSpan w:val="2"/>
            <w:tcBorders>
              <w:top w:val="nil"/>
              <w:left w:val="nil"/>
              <w:bottom w:val="nil"/>
              <w:right w:val="nil"/>
            </w:tcBorders>
          </w:tcPr>
          <w:p w:rsidR="006F533D" w:rsidRPr="006F533D" w:rsidRDefault="006F533D" w:rsidP="006F533D">
            <w:pPr>
              <w:pStyle w:val="Heading3"/>
              <w:jc w:val="left"/>
              <w:rPr>
                <w:rFonts w:asciiTheme="minorHAnsi" w:hAnsiTheme="minorHAnsi"/>
                <w:i/>
                <w:iCs/>
                <w:sz w:val="20"/>
                <w:lang w:val="es-ES"/>
              </w:rPr>
            </w:pPr>
          </w:p>
          <w:p w:rsidR="006F533D" w:rsidRPr="006F533D" w:rsidRDefault="006F533D" w:rsidP="00A52818">
            <w:pPr>
              <w:pStyle w:val="Heading3"/>
              <w:jc w:val="left"/>
              <w:rPr>
                <w:rFonts w:asciiTheme="minorHAnsi" w:hAnsiTheme="minorHAnsi"/>
                <w:i/>
                <w:iCs/>
                <w:sz w:val="20"/>
                <w:lang w:val="es-ES"/>
              </w:rPr>
            </w:pPr>
            <w:r w:rsidRPr="006F533D">
              <w:rPr>
                <w:rFonts w:asciiTheme="minorHAnsi" w:hAnsiTheme="minorHAnsi"/>
                <w:i/>
                <w:iCs/>
                <w:sz w:val="20"/>
                <w:lang w:val="es-ES"/>
              </w:rPr>
              <w:t>Tivaivai Tataura</w:t>
            </w:r>
          </w:p>
          <w:p w:rsidR="006F533D" w:rsidRPr="006F533D" w:rsidRDefault="006F533D" w:rsidP="00A52818">
            <w:pPr>
              <w:pStyle w:val="Heading1"/>
              <w:jc w:val="left"/>
              <w:rPr>
                <w:rFonts w:asciiTheme="minorHAnsi" w:hAnsiTheme="minorHAnsi"/>
                <w:b w:val="0"/>
                <w:sz w:val="20"/>
                <w:lang w:val="es-ES"/>
              </w:rPr>
            </w:pPr>
            <w:r w:rsidRPr="006F533D">
              <w:rPr>
                <w:rFonts w:asciiTheme="minorHAnsi" w:hAnsiTheme="minorHAnsi"/>
                <w:b w:val="0"/>
                <w:sz w:val="20"/>
                <w:lang w:val="es-ES"/>
              </w:rPr>
              <w:t>Colcha de fondo unicolor aplicada con flores de colores distintas arregladas de manera simétrica y abundantemente bordadas con hilos de varios colores</w:t>
            </w:r>
          </w:p>
        </w:tc>
        <w:tc>
          <w:tcPr>
            <w:tcW w:w="2839" w:type="dxa"/>
            <w:tcBorders>
              <w:top w:val="nil"/>
              <w:left w:val="nil"/>
              <w:bottom w:val="nil"/>
              <w:right w:val="nil"/>
            </w:tcBorders>
          </w:tcPr>
          <w:p w:rsidR="006F533D" w:rsidRPr="006F533D" w:rsidRDefault="006F533D" w:rsidP="00607832">
            <w:pPr>
              <w:pStyle w:val="Heading1"/>
              <w:jc w:val="left"/>
              <w:rPr>
                <w:rFonts w:asciiTheme="minorHAnsi" w:hAnsiTheme="minorHAnsi"/>
                <w:sz w:val="20"/>
                <w:lang w:val="es-ES"/>
              </w:rPr>
            </w:pPr>
            <w:r w:rsidRPr="006F533D">
              <w:rPr>
                <w:rFonts w:asciiTheme="minorHAnsi" w:hAnsiTheme="minorHAnsi"/>
                <w:noProof/>
                <w:sz w:val="20"/>
                <w:lang w:val="en-US"/>
              </w:rPr>
              <w:drawing>
                <wp:inline distT="0" distB="0" distL="0" distR="0" wp14:anchorId="05E1D2BA" wp14:editId="435DD5B4">
                  <wp:extent cx="1531620" cy="1021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idsKapi.jpg"/>
                          <pic:cNvPicPr/>
                        </pic:nvPicPr>
                        <pic:blipFill>
                          <a:blip r:embed="rId7">
                            <a:extLst>
                              <a:ext uri="{28A0092B-C50C-407E-A947-70E740481C1C}">
                                <a14:useLocalDpi xmlns:a14="http://schemas.microsoft.com/office/drawing/2010/main" val="0"/>
                              </a:ext>
                            </a:extLst>
                          </a:blip>
                          <a:stretch>
                            <a:fillRect/>
                          </a:stretch>
                        </pic:blipFill>
                        <pic:spPr>
                          <a:xfrm>
                            <a:off x="0" y="0"/>
                            <a:ext cx="1535518" cy="1023615"/>
                          </a:xfrm>
                          <a:prstGeom prst="rect">
                            <a:avLst/>
                          </a:prstGeom>
                        </pic:spPr>
                      </pic:pic>
                    </a:graphicData>
                  </a:graphic>
                </wp:inline>
              </w:drawing>
            </w:r>
          </w:p>
        </w:tc>
      </w:tr>
      <w:tr w:rsidR="006F533D" w:rsidRPr="006F533D" w:rsidTr="006F533D">
        <w:tc>
          <w:tcPr>
            <w:tcW w:w="8522" w:type="dxa"/>
            <w:gridSpan w:val="3"/>
            <w:tcBorders>
              <w:top w:val="nil"/>
              <w:left w:val="nil"/>
              <w:bottom w:val="nil"/>
              <w:right w:val="nil"/>
            </w:tcBorders>
          </w:tcPr>
          <w:p w:rsidR="006F533D" w:rsidRPr="006F533D" w:rsidRDefault="00A52818" w:rsidP="00A52818">
            <w:pPr>
              <w:pStyle w:val="BodyText"/>
              <w:jc w:val="left"/>
              <w:rPr>
                <w:rFonts w:asciiTheme="minorHAnsi" w:hAnsiTheme="minorHAnsi"/>
                <w:lang w:val="es-ES"/>
              </w:rPr>
            </w:pPr>
            <w:r>
              <w:rPr>
                <w:rFonts w:asciiTheme="minorHAnsi" w:hAnsiTheme="minorHAnsi"/>
                <w:lang w:val="es-ES"/>
              </w:rPr>
              <w:br/>
            </w:r>
            <w:r w:rsidR="006F533D" w:rsidRPr="006F533D">
              <w:rPr>
                <w:rFonts w:asciiTheme="minorHAnsi" w:hAnsiTheme="minorHAnsi"/>
                <w:lang w:val="es-ES"/>
              </w:rPr>
              <w:t xml:space="preserve">La tradición de hacer estas colchas fue introducida por las esposas de misioneros que vinieron a las islas a partir de 1823 convirtiendo la población indígena a la religión cristiana (London Missionary Society).  Sustituyeron el uso de la tela de corteza de árbol (tapa) por la tela de algodón y cambiaron tanto las costumbres de vestido como  las costumbres ceremoniales. Todas las mujeres del país insular tienen numerosas </w:t>
            </w:r>
            <w:r w:rsidR="006F533D" w:rsidRPr="006F533D">
              <w:rPr>
                <w:rFonts w:asciiTheme="minorHAnsi" w:hAnsiTheme="minorHAnsi"/>
                <w:i/>
                <w:lang w:val="es-ES"/>
              </w:rPr>
              <w:t xml:space="preserve">Tivaivai, </w:t>
            </w:r>
            <w:r w:rsidR="006F533D" w:rsidRPr="006F533D">
              <w:rPr>
                <w:rFonts w:asciiTheme="minorHAnsi" w:hAnsiTheme="minorHAnsi"/>
                <w:lang w:val="es-ES"/>
              </w:rPr>
              <w:t xml:space="preserve">cada cual más preciosa que la otra, en sus “cajones de gloria”. La vida de una persona </w:t>
            </w:r>
            <w:r w:rsidR="006F533D" w:rsidRPr="006F533D">
              <w:rPr>
                <w:rFonts w:asciiTheme="minorHAnsi" w:hAnsiTheme="minorHAnsi"/>
                <w:i/>
                <w:lang w:val="es-ES"/>
              </w:rPr>
              <w:t xml:space="preserve">maori </w:t>
            </w:r>
            <w:r w:rsidR="006F533D" w:rsidRPr="006F533D">
              <w:rPr>
                <w:rFonts w:asciiTheme="minorHAnsi" w:hAnsiTheme="minorHAnsi"/>
                <w:lang w:val="es-ES"/>
              </w:rPr>
              <w:t xml:space="preserve">(así se llaman los nativos de las islas) está acompañada de </w:t>
            </w:r>
            <w:r w:rsidR="006F533D" w:rsidRPr="006F533D">
              <w:rPr>
                <w:rFonts w:asciiTheme="minorHAnsi" w:hAnsiTheme="minorHAnsi"/>
                <w:i/>
                <w:lang w:val="es-ES"/>
              </w:rPr>
              <w:t>Tivaivai</w:t>
            </w:r>
            <w:r w:rsidR="006F533D" w:rsidRPr="006F533D">
              <w:rPr>
                <w:rFonts w:asciiTheme="minorHAnsi" w:hAnsiTheme="minorHAnsi"/>
                <w:lang w:val="es-ES"/>
              </w:rPr>
              <w:t>, sea por celebrar el primer o el vigésimo primer cumpleaños, la gran ceremonia del primer corte de pelo del hijo primogénito, la boda, el entierro de los muertos y,  al año siguiente,  el destapamiento de la lápida conmemorativa.</w:t>
            </w:r>
          </w:p>
          <w:p w:rsidR="006F533D" w:rsidRPr="006F533D" w:rsidRDefault="006F533D" w:rsidP="00607832">
            <w:pPr>
              <w:pStyle w:val="Heading1"/>
              <w:jc w:val="left"/>
              <w:rPr>
                <w:rFonts w:asciiTheme="minorHAnsi" w:hAnsiTheme="minorHAnsi"/>
                <w:noProof/>
                <w:sz w:val="20"/>
                <w:lang w:val="en-US"/>
              </w:rPr>
            </w:pPr>
          </w:p>
        </w:tc>
      </w:tr>
      <w:tr w:rsidR="006F533D" w:rsidRPr="006F533D" w:rsidTr="006F533D">
        <w:tc>
          <w:tcPr>
            <w:tcW w:w="8522" w:type="dxa"/>
            <w:gridSpan w:val="3"/>
            <w:tcBorders>
              <w:top w:val="nil"/>
              <w:left w:val="nil"/>
              <w:bottom w:val="nil"/>
              <w:right w:val="nil"/>
            </w:tcBorders>
          </w:tcPr>
          <w:p w:rsidR="006F533D" w:rsidRPr="006F533D" w:rsidRDefault="006F533D" w:rsidP="00A52818">
            <w:pPr>
              <w:pStyle w:val="BodyText"/>
              <w:jc w:val="left"/>
              <w:rPr>
                <w:rFonts w:asciiTheme="minorHAnsi" w:hAnsiTheme="minorHAnsi"/>
                <w:b/>
                <w:bCs/>
                <w:lang w:val="es-ES"/>
              </w:rPr>
            </w:pPr>
            <w:r w:rsidRPr="006F533D">
              <w:rPr>
                <w:rFonts w:asciiTheme="minorHAnsi" w:hAnsiTheme="minorHAnsi"/>
                <w:b/>
                <w:bCs/>
                <w:lang w:val="es-ES"/>
              </w:rPr>
              <w:t>Las Islas Cook</w:t>
            </w:r>
          </w:p>
          <w:p w:rsidR="006F533D" w:rsidRDefault="006F533D" w:rsidP="00A52818">
            <w:pPr>
              <w:pStyle w:val="BodyText"/>
              <w:jc w:val="left"/>
              <w:rPr>
                <w:rFonts w:asciiTheme="minorHAnsi" w:hAnsiTheme="minorHAnsi"/>
                <w:lang w:val="es-ES"/>
              </w:rPr>
            </w:pPr>
            <w:r w:rsidRPr="006F533D">
              <w:rPr>
                <w:rFonts w:asciiTheme="minorHAnsi" w:hAnsiTheme="minorHAnsi"/>
                <w:lang w:val="es-ES"/>
              </w:rPr>
              <w:t>Las quince islas del país polinesio en el Mar Pacífico, de las cuales trece son habitadas,  forman una nación pequeña de extensión terrestre pero cubriendo una superficie oceánica casi tan grande que toda la Europa occidental. Hay un grupo del norte y otro del sur,  que es el más desarrollado y por ello el más poblado. La capital se llama Avarua y está situada en la isla mayor de Rarotonga en la que viven aproximadamente 10.500 personas. Más de tres veces la populación total de 19.500 vive</w:t>
            </w:r>
            <w:r>
              <w:rPr>
                <w:rFonts w:asciiTheme="minorHAnsi" w:hAnsiTheme="minorHAnsi"/>
                <w:lang w:val="es-ES"/>
              </w:rPr>
              <w:t>n</w:t>
            </w:r>
            <w:r w:rsidRPr="006F533D">
              <w:rPr>
                <w:rFonts w:asciiTheme="minorHAnsi" w:hAnsiTheme="minorHAnsi"/>
                <w:lang w:val="es-ES"/>
              </w:rPr>
              <w:t xml:space="preserve"> en Nueva Zelanda y en Australia. La nación tiene su propio gobierno y legislación, pero recibe asistencia financiera del gobierno neozelandés. La industria mayor es el turismo que se concentra sobre todo en Rarotonga y Aitutaki. Las otras islas del grupo del sur están comenzando lentamente a desarrollar sus facilidades turísticas, pero es difícil con una población tan pequeña. Así que todavía se parecen verdaderos paraísos tropicales con nátura ingenua, pero también sin mucho empleo para ganar el dinero suficiente para obtener los requisitos necesarios para llevar una vida moderna. Por ello la mayoría de los jóvenes emigra a los países extranjeros para conseguir trabajo y poder mandar dinero a su familia en las islas.</w:t>
            </w:r>
          </w:p>
          <w:p w:rsidR="006F533D" w:rsidRPr="006F533D" w:rsidRDefault="006F533D" w:rsidP="006F533D">
            <w:pPr>
              <w:pStyle w:val="BodyText"/>
              <w:rPr>
                <w:rFonts w:asciiTheme="minorHAnsi" w:hAnsiTheme="minorHAnsi"/>
                <w:lang w:val="es-ES"/>
              </w:rPr>
            </w:pPr>
          </w:p>
        </w:tc>
      </w:tr>
      <w:tr w:rsidR="006F533D" w:rsidRPr="006F533D" w:rsidTr="006F533D">
        <w:tc>
          <w:tcPr>
            <w:tcW w:w="8522" w:type="dxa"/>
            <w:gridSpan w:val="3"/>
            <w:tcBorders>
              <w:top w:val="nil"/>
              <w:left w:val="nil"/>
              <w:bottom w:val="nil"/>
              <w:right w:val="nil"/>
            </w:tcBorders>
          </w:tcPr>
          <w:p w:rsidR="006F533D" w:rsidRDefault="006F533D" w:rsidP="00A52818">
            <w:pPr>
              <w:pStyle w:val="BodyText"/>
              <w:jc w:val="left"/>
              <w:rPr>
                <w:rFonts w:asciiTheme="minorHAnsi" w:hAnsiTheme="minorHAnsi"/>
                <w:b/>
                <w:bCs/>
                <w:lang w:val="es-ES"/>
              </w:rPr>
            </w:pPr>
            <w:r w:rsidRPr="006F533D">
              <w:rPr>
                <w:rFonts w:asciiTheme="minorHAnsi" w:hAnsiTheme="minorHAnsi"/>
                <w:b/>
                <w:bCs/>
                <w:lang w:val="es-ES"/>
              </w:rPr>
              <w:t>Andrea Eimke</w:t>
            </w:r>
          </w:p>
          <w:p w:rsidR="006F533D" w:rsidRPr="00A52818" w:rsidRDefault="00A52818" w:rsidP="00A52818">
            <w:pPr>
              <w:pStyle w:val="BodyText"/>
              <w:jc w:val="left"/>
              <w:rPr>
                <w:rFonts w:asciiTheme="minorHAnsi" w:hAnsiTheme="minorHAnsi"/>
                <w:bCs/>
                <w:lang w:val="es-ES"/>
              </w:rPr>
            </w:pPr>
            <w:r w:rsidRPr="00A52818">
              <w:rPr>
                <w:rFonts w:asciiTheme="minorHAnsi" w:hAnsiTheme="minorHAnsi"/>
              </w:rPr>
              <w:t>nació en alemania. Durante más de treinta años residió en una isla remota de la Polinésia, ocupándose de la investigación, producción y promoción del arte textil indígena con  exposiciones internacionales y publicaciones literarias. Es bordadora certificada y lleva un máster en arte y diseño de Auckland Universi</w:t>
            </w:r>
            <w:r>
              <w:rPr>
                <w:rFonts w:asciiTheme="minorHAnsi" w:hAnsiTheme="minorHAnsi"/>
              </w:rPr>
              <w:t>ty of Technology, Nueva Zelanda</w:t>
            </w:r>
            <w:r w:rsidRPr="00A52818">
              <w:rPr>
                <w:rFonts w:asciiTheme="minorHAnsi" w:hAnsiTheme="minorHAnsi"/>
              </w:rPr>
              <w:t xml:space="preserve">. Ha </w:t>
            </w:r>
            <w:r>
              <w:rPr>
                <w:rFonts w:asciiTheme="minorHAnsi" w:hAnsiTheme="minorHAnsi"/>
              </w:rPr>
              <w:t>expuesto su arte</w:t>
            </w:r>
            <w:bookmarkStart w:id="0" w:name="_GoBack"/>
            <w:bookmarkEnd w:id="0"/>
            <w:r w:rsidRPr="00A52818">
              <w:rPr>
                <w:rFonts w:asciiTheme="minorHAnsi" w:hAnsiTheme="minorHAnsi"/>
              </w:rPr>
              <w:t xml:space="preserve"> y dado clases de bordado en muchos países del mundo. Desde 2015 vive en Terrassa donde se dedica a su arte textil.</w:t>
            </w:r>
          </w:p>
        </w:tc>
      </w:tr>
    </w:tbl>
    <w:p w:rsidR="00607832" w:rsidRPr="006F533D" w:rsidRDefault="00607832" w:rsidP="00607832">
      <w:pPr>
        <w:pStyle w:val="Heading1"/>
        <w:jc w:val="left"/>
        <w:rPr>
          <w:rFonts w:asciiTheme="minorHAnsi" w:hAnsiTheme="minorHAnsi"/>
          <w:sz w:val="20"/>
          <w:lang w:val="es-ES"/>
        </w:rPr>
      </w:pPr>
    </w:p>
    <w:p w:rsidR="00B42019" w:rsidRPr="006F533D" w:rsidRDefault="00B42019">
      <w:pPr>
        <w:rPr>
          <w:rFonts w:asciiTheme="minorHAnsi" w:hAnsiTheme="minorHAnsi"/>
          <w:sz w:val="20"/>
          <w:szCs w:val="20"/>
          <w:lang w:val="es-ES"/>
        </w:rPr>
      </w:pPr>
    </w:p>
    <w:p w:rsidR="00B42019" w:rsidRPr="006F533D" w:rsidRDefault="00B42019">
      <w:pPr>
        <w:pStyle w:val="BodyTextIndent"/>
        <w:ind w:left="0"/>
        <w:rPr>
          <w:rFonts w:asciiTheme="minorHAnsi" w:hAnsiTheme="minorHAnsi"/>
          <w:sz w:val="20"/>
          <w:lang w:val="es-ES"/>
        </w:rPr>
      </w:pPr>
    </w:p>
    <w:p w:rsidR="00B42019" w:rsidRPr="006F533D" w:rsidRDefault="00B42019">
      <w:pPr>
        <w:pStyle w:val="BodyTextIndent"/>
        <w:ind w:left="0"/>
        <w:rPr>
          <w:rFonts w:asciiTheme="minorHAnsi" w:hAnsiTheme="minorHAnsi"/>
          <w:sz w:val="20"/>
          <w:lang w:val="es-ES"/>
        </w:rPr>
      </w:pPr>
    </w:p>
    <w:p w:rsidR="00B42019" w:rsidRPr="006F533D" w:rsidRDefault="00B42019">
      <w:pPr>
        <w:pStyle w:val="BodyText"/>
        <w:rPr>
          <w:rFonts w:asciiTheme="minorHAnsi" w:hAnsiTheme="minorHAnsi"/>
          <w:lang w:val="es-ES"/>
        </w:rPr>
      </w:pPr>
    </w:p>
    <w:p w:rsidR="00B42019" w:rsidRPr="006F533D" w:rsidRDefault="00B42019">
      <w:pPr>
        <w:pStyle w:val="BodyText"/>
        <w:rPr>
          <w:rFonts w:asciiTheme="minorHAnsi" w:hAnsiTheme="minorHAnsi"/>
          <w:lang w:val="es-ES"/>
        </w:rPr>
      </w:pPr>
    </w:p>
    <w:p w:rsidR="00B42019" w:rsidRPr="006F533D" w:rsidRDefault="00B42019">
      <w:pPr>
        <w:pStyle w:val="BodyText"/>
        <w:rPr>
          <w:rFonts w:asciiTheme="minorHAnsi" w:hAnsiTheme="minorHAnsi"/>
          <w:lang w:val="es-ES"/>
        </w:rPr>
      </w:pPr>
    </w:p>
    <w:p w:rsidR="00B42019" w:rsidRPr="006F533D" w:rsidRDefault="00B42019">
      <w:pPr>
        <w:pStyle w:val="BodyText"/>
        <w:rPr>
          <w:rFonts w:asciiTheme="minorHAnsi" w:hAnsiTheme="minorHAnsi"/>
          <w:lang w:val="es-ES"/>
        </w:rPr>
      </w:pPr>
    </w:p>
    <w:p w:rsidR="00B42019" w:rsidRPr="006F533D" w:rsidRDefault="00B42019">
      <w:pPr>
        <w:rPr>
          <w:rFonts w:asciiTheme="minorHAnsi" w:hAnsiTheme="minorHAnsi"/>
          <w:sz w:val="20"/>
          <w:szCs w:val="20"/>
          <w:lang w:val="es-ES"/>
        </w:rPr>
      </w:pPr>
    </w:p>
    <w:sectPr w:rsidR="00B42019" w:rsidRPr="006F53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ernhardFashion BT">
    <w:altName w:val="Courier New"/>
    <w:charset w:val="00"/>
    <w:family w:val="decorative"/>
    <w:pitch w:val="variable"/>
    <w:sig w:usb0="00000001" w:usb1="1000204A"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A5"/>
    <w:rsid w:val="00320ED2"/>
    <w:rsid w:val="00607832"/>
    <w:rsid w:val="006635A5"/>
    <w:rsid w:val="006F533D"/>
    <w:rsid w:val="0087066E"/>
    <w:rsid w:val="00942346"/>
    <w:rsid w:val="00A52818"/>
    <w:rsid w:val="00B420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BernhardFashion BT" w:hAnsi="BernhardFashion BT"/>
      <w:b/>
      <w:sz w:val="28"/>
      <w:szCs w:val="20"/>
    </w:rPr>
  </w:style>
  <w:style w:type="paragraph" w:styleId="Heading3">
    <w:name w:val="heading 3"/>
    <w:basedOn w:val="Normal"/>
    <w:next w:val="Normal"/>
    <w:qFormat/>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0"/>
      <w:szCs w:val="20"/>
    </w:rPr>
  </w:style>
  <w:style w:type="paragraph" w:styleId="BodyTextIndent">
    <w:name w:val="Body Text Indent"/>
    <w:basedOn w:val="Normal"/>
    <w:semiHidden/>
    <w:pPr>
      <w:ind w:left="720"/>
      <w:jc w:val="both"/>
    </w:pPr>
    <w:rPr>
      <w:szCs w:val="20"/>
    </w:rPr>
  </w:style>
  <w:style w:type="paragraph" w:styleId="BodyText2">
    <w:name w:val="Body Text 2"/>
    <w:basedOn w:val="Normal"/>
    <w:semiHidden/>
    <w:pPr>
      <w:jc w:val="both"/>
    </w:pPr>
    <w:rPr>
      <w:szCs w:val="20"/>
    </w:rPr>
  </w:style>
  <w:style w:type="table" w:styleId="TableGrid">
    <w:name w:val="Table Grid"/>
    <w:basedOn w:val="TableNormal"/>
    <w:uiPriority w:val="59"/>
    <w:rsid w:val="00607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33D"/>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BernhardFashion BT" w:hAnsi="BernhardFashion BT"/>
      <w:b/>
      <w:sz w:val="28"/>
      <w:szCs w:val="20"/>
    </w:rPr>
  </w:style>
  <w:style w:type="paragraph" w:styleId="Heading3">
    <w:name w:val="heading 3"/>
    <w:basedOn w:val="Normal"/>
    <w:next w:val="Normal"/>
    <w:qFormat/>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0"/>
      <w:szCs w:val="20"/>
    </w:rPr>
  </w:style>
  <w:style w:type="paragraph" w:styleId="BodyTextIndent">
    <w:name w:val="Body Text Indent"/>
    <w:basedOn w:val="Normal"/>
    <w:semiHidden/>
    <w:pPr>
      <w:ind w:left="720"/>
      <w:jc w:val="both"/>
    </w:pPr>
    <w:rPr>
      <w:szCs w:val="20"/>
    </w:rPr>
  </w:style>
  <w:style w:type="paragraph" w:styleId="BodyText2">
    <w:name w:val="Body Text 2"/>
    <w:basedOn w:val="Normal"/>
    <w:semiHidden/>
    <w:pPr>
      <w:jc w:val="both"/>
    </w:pPr>
    <w:rPr>
      <w:szCs w:val="20"/>
    </w:rPr>
  </w:style>
  <w:style w:type="table" w:styleId="TableGrid">
    <w:name w:val="Table Grid"/>
    <w:basedOn w:val="TableNormal"/>
    <w:uiPriority w:val="59"/>
    <w:rsid w:val="00607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33D"/>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Tivaevae</vt:lpstr>
    </vt:vector>
  </TitlesOfParts>
  <Company>Customer</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Tivaevae</dc:title>
  <dc:creator>Andrea</dc:creator>
  <cp:lastModifiedBy>Andrea Eimke</cp:lastModifiedBy>
  <cp:revision>2</cp:revision>
  <dcterms:created xsi:type="dcterms:W3CDTF">2017-05-06T13:00:00Z</dcterms:created>
  <dcterms:modified xsi:type="dcterms:W3CDTF">2017-05-06T13:00:00Z</dcterms:modified>
</cp:coreProperties>
</file>